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A81EB" w14:textId="77777777" w:rsidR="00AB1C95" w:rsidRPr="004A2F66" w:rsidRDefault="00AB1C95" w:rsidP="00AB1C95">
      <w:pPr>
        <w:pStyle w:val="Default"/>
        <w:rPr>
          <w:rFonts w:ascii="NimbusSanL" w:hAnsi="NimbusSanL"/>
          <w:sz w:val="22"/>
          <w:szCs w:val="22"/>
        </w:rPr>
      </w:pPr>
    </w:p>
    <w:p w14:paraId="3F944533" w14:textId="77777777" w:rsidR="00AB1C95" w:rsidRPr="004A2F66" w:rsidRDefault="00AB1C95" w:rsidP="00AB1C95">
      <w:pPr>
        <w:pStyle w:val="Default"/>
        <w:rPr>
          <w:rFonts w:ascii="NimbusSanL" w:hAnsi="NimbusSanL"/>
          <w:sz w:val="22"/>
          <w:szCs w:val="22"/>
        </w:rPr>
      </w:pPr>
    </w:p>
    <w:p w14:paraId="55B6B98B" w14:textId="77777777" w:rsidR="00FC7BD4" w:rsidRDefault="00FC7BD4" w:rsidP="00FC7BD4">
      <w:pPr>
        <w:spacing w:before="120"/>
        <w:rPr>
          <w:rFonts w:eastAsia="Calibri" w:cstheme="minorHAnsi"/>
          <w:b/>
          <w:bCs/>
          <w:sz w:val="26"/>
          <w:szCs w:val="26"/>
          <w:lang w:val="pl-PL"/>
        </w:rPr>
      </w:pPr>
      <w:proofErr w:type="spellStart"/>
      <w:r w:rsidRPr="00506A61">
        <w:rPr>
          <w:rFonts w:eastAsia="Calibri" w:cstheme="minorHAnsi"/>
          <w:b/>
          <w:bCs/>
          <w:sz w:val="26"/>
          <w:szCs w:val="26"/>
          <w:lang w:val="pl-PL"/>
        </w:rPr>
        <w:t>Backgrounder</w:t>
      </w:r>
      <w:proofErr w:type="spellEnd"/>
      <w:r w:rsidRPr="00506A61">
        <w:rPr>
          <w:rFonts w:eastAsia="Calibri" w:cstheme="minorHAnsi"/>
          <w:b/>
          <w:bCs/>
          <w:sz w:val="26"/>
          <w:szCs w:val="26"/>
          <w:lang w:val="pl-PL"/>
        </w:rPr>
        <w:t xml:space="preserve">   </w:t>
      </w:r>
    </w:p>
    <w:p w14:paraId="5DF8FF95" w14:textId="77777777" w:rsidR="00FC7BD4" w:rsidRDefault="00FC7BD4" w:rsidP="00FC7BD4">
      <w:pPr>
        <w:spacing w:before="120"/>
        <w:rPr>
          <w:rFonts w:eastAsia="Calibri" w:cstheme="minorHAnsi"/>
          <w:b/>
          <w:bCs/>
          <w:sz w:val="26"/>
          <w:szCs w:val="26"/>
          <w:lang w:val="pl-PL"/>
        </w:rPr>
      </w:pPr>
    </w:p>
    <w:p w14:paraId="3471DB29" w14:textId="77777777" w:rsidR="00FC7BD4" w:rsidRPr="000E4923" w:rsidRDefault="00FC7BD4" w:rsidP="00FC7BD4">
      <w:pPr>
        <w:jc w:val="both"/>
        <w:rPr>
          <w:rFonts w:cstheme="minorHAnsi"/>
          <w:lang w:val="pl-PL"/>
        </w:rPr>
      </w:pPr>
      <w:proofErr w:type="spellStart"/>
      <w:r w:rsidRPr="000E4923">
        <w:rPr>
          <w:rFonts w:cstheme="minorHAnsi"/>
          <w:b/>
          <w:bCs/>
          <w:lang w:val="pl-PL"/>
        </w:rPr>
        <w:t>MedApp</w:t>
      </w:r>
      <w:proofErr w:type="spellEnd"/>
      <w:r w:rsidRPr="000E4923">
        <w:rPr>
          <w:rFonts w:cstheme="minorHAnsi"/>
          <w:lang w:val="pl-PL"/>
        </w:rPr>
        <w:t xml:space="preserve"> to notowana na </w:t>
      </w:r>
      <w:proofErr w:type="spellStart"/>
      <w:r w:rsidRPr="000E4923">
        <w:rPr>
          <w:rFonts w:cstheme="minorHAnsi"/>
          <w:lang w:val="pl-PL"/>
        </w:rPr>
        <w:t>NewConnect</w:t>
      </w:r>
      <w:proofErr w:type="spellEnd"/>
      <w:r w:rsidRPr="000E4923">
        <w:rPr>
          <w:rFonts w:cstheme="minorHAnsi"/>
          <w:lang w:val="pl-PL"/>
        </w:rPr>
        <w:t xml:space="preserve"> spółka technologiczna. Firma tworzy unikalne rozwiązania softwarowe, wspomagające diagnostykę obrazową i usługi medycyny cyfrowej nowej generacji, oparte na rozwiązaniach sztucznej inteligencji, mieszanej rzeczywistości i obrazowaniu 3D.  Kluczowe technologie oferowane przez spółkę to: </w:t>
      </w:r>
      <w:proofErr w:type="spellStart"/>
      <w:r w:rsidRPr="000E4923">
        <w:rPr>
          <w:rFonts w:cstheme="minorHAnsi"/>
          <w:b/>
          <w:bCs/>
          <w:lang w:val="pl-PL"/>
        </w:rPr>
        <w:t>CarnaLife</w:t>
      </w:r>
      <w:proofErr w:type="spellEnd"/>
      <w:r w:rsidRPr="000E4923">
        <w:rPr>
          <w:rFonts w:cstheme="minorHAnsi"/>
          <w:b/>
          <w:bCs/>
          <w:lang w:val="pl-PL"/>
        </w:rPr>
        <w:t xml:space="preserve"> </w:t>
      </w:r>
      <w:proofErr w:type="spellStart"/>
      <w:r w:rsidRPr="000E4923">
        <w:rPr>
          <w:rFonts w:cstheme="minorHAnsi"/>
          <w:b/>
          <w:bCs/>
          <w:lang w:val="pl-PL"/>
        </w:rPr>
        <w:t>Holo</w:t>
      </w:r>
      <w:proofErr w:type="spellEnd"/>
      <w:r w:rsidRPr="000E4923">
        <w:rPr>
          <w:rFonts w:cstheme="minorHAnsi"/>
          <w:b/>
          <w:bCs/>
          <w:lang w:val="pl-PL"/>
        </w:rPr>
        <w:t xml:space="preserve">, </w:t>
      </w:r>
      <w:proofErr w:type="spellStart"/>
      <w:r w:rsidRPr="000E4923">
        <w:rPr>
          <w:rFonts w:cstheme="minorHAnsi"/>
          <w:b/>
          <w:bCs/>
          <w:lang w:val="pl-PL"/>
        </w:rPr>
        <w:t>CarnaLife</w:t>
      </w:r>
      <w:proofErr w:type="spellEnd"/>
      <w:r w:rsidRPr="000E4923">
        <w:rPr>
          <w:rFonts w:cstheme="minorHAnsi"/>
          <w:b/>
          <w:bCs/>
          <w:lang w:val="pl-PL"/>
        </w:rPr>
        <w:t xml:space="preserve"> System, </w:t>
      </w:r>
      <w:proofErr w:type="spellStart"/>
      <w:r w:rsidRPr="000E4923">
        <w:rPr>
          <w:rFonts w:cstheme="minorHAnsi"/>
          <w:b/>
          <w:bCs/>
          <w:lang w:val="pl-PL"/>
        </w:rPr>
        <w:t>HoloComm</w:t>
      </w:r>
      <w:proofErr w:type="spellEnd"/>
      <w:r w:rsidRPr="000E4923">
        <w:rPr>
          <w:rFonts w:cstheme="minorHAnsi"/>
          <w:b/>
          <w:bCs/>
          <w:lang w:val="pl-PL"/>
        </w:rPr>
        <w:t xml:space="preserve"> i Cyfrowa Przychodnia</w:t>
      </w:r>
      <w:r w:rsidRPr="000E4923">
        <w:rPr>
          <w:rFonts w:cstheme="minorHAnsi"/>
          <w:lang w:val="pl-PL"/>
        </w:rPr>
        <w:t>.</w:t>
      </w:r>
    </w:p>
    <w:p w14:paraId="0EF17A2E" w14:textId="77777777" w:rsidR="00FC7BD4" w:rsidRPr="000E4923" w:rsidRDefault="00FC7BD4" w:rsidP="00FC7BD4">
      <w:pPr>
        <w:jc w:val="both"/>
        <w:rPr>
          <w:rFonts w:cstheme="minorHAnsi"/>
          <w:lang w:val="pl-PL"/>
        </w:rPr>
      </w:pPr>
      <w:proofErr w:type="spellStart"/>
      <w:r w:rsidRPr="000E4923">
        <w:rPr>
          <w:rFonts w:cstheme="minorHAnsi"/>
          <w:b/>
          <w:bCs/>
          <w:lang w:val="pl-PL"/>
        </w:rPr>
        <w:t>CarnaLife</w:t>
      </w:r>
      <w:proofErr w:type="spellEnd"/>
      <w:r w:rsidRPr="000E4923">
        <w:rPr>
          <w:rFonts w:cstheme="minorHAnsi"/>
          <w:b/>
          <w:bCs/>
          <w:lang w:val="pl-PL"/>
        </w:rPr>
        <w:t xml:space="preserve"> </w:t>
      </w:r>
      <w:proofErr w:type="spellStart"/>
      <w:r w:rsidRPr="000E4923">
        <w:rPr>
          <w:rFonts w:cstheme="minorHAnsi"/>
          <w:b/>
          <w:bCs/>
          <w:lang w:val="pl-PL"/>
        </w:rPr>
        <w:t>Holo</w:t>
      </w:r>
      <w:proofErr w:type="spellEnd"/>
      <w:r w:rsidRPr="000E4923">
        <w:rPr>
          <w:rFonts w:cstheme="minorHAnsi"/>
          <w:lang w:val="pl-PL"/>
        </w:rPr>
        <w:t xml:space="preserve"> to certyfikowana innowacyjna</w:t>
      </w:r>
      <w:r w:rsidRPr="000E4923">
        <w:rPr>
          <w:rFonts w:cstheme="minorHAnsi"/>
          <w:b/>
          <w:bCs/>
          <w:lang w:val="pl-PL"/>
        </w:rPr>
        <w:t xml:space="preserve"> </w:t>
      </w:r>
      <w:r w:rsidRPr="000E4923">
        <w:rPr>
          <w:rFonts w:cstheme="minorHAnsi"/>
          <w:lang w:val="pl-PL"/>
        </w:rPr>
        <w:t xml:space="preserve">technologia wspierająca planowanie i przeprowadzanie skomplikowanych zabiegów medycznych. Z pomocą gogli HoloLens 2 firmy Microsoft lekarz widzi w przestrzeni rzeczywistej trójwymiarowy hologram odzwierciedlający obrazowany obszar anatomiczny. Lekarz może swobodnie wchodzić w interakcję z wyświetlanym hologramem. </w:t>
      </w:r>
      <w:proofErr w:type="spellStart"/>
      <w:r w:rsidRPr="000E4923">
        <w:rPr>
          <w:rFonts w:cstheme="minorHAnsi"/>
          <w:lang w:val="pl-PL"/>
        </w:rPr>
        <w:t>CarnaLife</w:t>
      </w:r>
      <w:proofErr w:type="spellEnd"/>
      <w:r w:rsidRPr="000E4923">
        <w:rPr>
          <w:rFonts w:cstheme="minorHAnsi"/>
          <w:lang w:val="pl-PL"/>
        </w:rPr>
        <w:t xml:space="preserve"> </w:t>
      </w:r>
      <w:proofErr w:type="spellStart"/>
      <w:r w:rsidRPr="000E4923">
        <w:rPr>
          <w:rFonts w:cstheme="minorHAnsi"/>
          <w:lang w:val="pl-PL"/>
        </w:rPr>
        <w:t>Holo</w:t>
      </w:r>
      <w:proofErr w:type="spellEnd"/>
      <w:r w:rsidRPr="000E4923">
        <w:rPr>
          <w:rFonts w:cstheme="minorHAnsi"/>
          <w:lang w:val="pl-PL"/>
        </w:rPr>
        <w:t xml:space="preserve"> obecne jest w 18 ośrodkach medycznych w Polsce i na świecie, zostało wykorzystane w blisko 100 procedurach medycznych różnych specjalizacji.</w:t>
      </w:r>
    </w:p>
    <w:p w14:paraId="60E8F8B9" w14:textId="77777777" w:rsidR="00FC7BD4" w:rsidRPr="000E4923" w:rsidRDefault="00FC7BD4" w:rsidP="00FC7BD4">
      <w:pPr>
        <w:jc w:val="both"/>
        <w:rPr>
          <w:rFonts w:eastAsia="Calibri" w:cstheme="minorHAnsi"/>
          <w:lang w:val="pl-PL"/>
        </w:rPr>
      </w:pPr>
      <w:r w:rsidRPr="000E4923">
        <w:rPr>
          <w:rFonts w:eastAsia="Calibri" w:cstheme="minorHAnsi"/>
          <w:lang w:val="pl-PL"/>
        </w:rPr>
        <w:t xml:space="preserve">Rozwiązanie </w:t>
      </w:r>
      <w:proofErr w:type="spellStart"/>
      <w:r w:rsidRPr="000E4923">
        <w:rPr>
          <w:rFonts w:eastAsia="Calibri" w:cstheme="minorHAnsi"/>
          <w:b/>
          <w:bCs/>
          <w:lang w:val="pl-PL"/>
        </w:rPr>
        <w:t>CarnaLife</w:t>
      </w:r>
      <w:proofErr w:type="spellEnd"/>
      <w:r w:rsidRPr="000E4923">
        <w:rPr>
          <w:rFonts w:eastAsia="Calibri" w:cstheme="minorHAnsi"/>
          <w:b/>
          <w:bCs/>
          <w:lang w:val="pl-PL"/>
        </w:rPr>
        <w:t xml:space="preserve"> System</w:t>
      </w:r>
      <w:r w:rsidRPr="000E4923">
        <w:rPr>
          <w:rFonts w:eastAsia="Calibri" w:cstheme="minorHAnsi"/>
          <w:lang w:val="pl-PL"/>
        </w:rPr>
        <w:t xml:space="preserve"> jest zaawansowaną platformą </w:t>
      </w:r>
      <w:proofErr w:type="spellStart"/>
      <w:r w:rsidRPr="000E4923">
        <w:rPr>
          <w:rFonts w:eastAsia="Calibri" w:cstheme="minorHAnsi"/>
          <w:lang w:val="pl-PL"/>
        </w:rPr>
        <w:t>telemedyczną</w:t>
      </w:r>
      <w:proofErr w:type="spellEnd"/>
      <w:r w:rsidRPr="000E4923">
        <w:rPr>
          <w:rFonts w:eastAsia="Calibri" w:cstheme="minorHAnsi"/>
          <w:lang w:val="pl-PL"/>
        </w:rPr>
        <w:t>, która umożliwia lekarzowi ocenę i monitorowanie stanu zdrowia pacjentów oraz przeprowadzanie konsultacji o dowolnej porze i</w:t>
      </w:r>
      <w:r>
        <w:rPr>
          <w:rFonts w:eastAsia="Calibri" w:cstheme="minorHAnsi"/>
          <w:lang w:val="pl-PL"/>
        </w:rPr>
        <w:t> </w:t>
      </w:r>
      <w:r w:rsidRPr="000E4923">
        <w:rPr>
          <w:rFonts w:eastAsia="Calibri" w:cstheme="minorHAnsi"/>
          <w:lang w:val="pl-PL"/>
        </w:rPr>
        <w:t xml:space="preserve">miejscu.  System jest wspierany przez ponad 20 zdalnych urządzeń pomiarowych. Wyniki badań analizowane są 24/7 z wykorzystaniem algorytmów AI i analizy Big Data. System został wdrożony w 16 placówkach medycznych. Na bazie tego rozwiązania powstała </w:t>
      </w:r>
      <w:r w:rsidRPr="000E4923">
        <w:rPr>
          <w:rFonts w:eastAsia="Calibri" w:cstheme="minorHAnsi"/>
          <w:b/>
          <w:bCs/>
          <w:lang w:val="pl-PL"/>
        </w:rPr>
        <w:t>Cyfrowa Przychodnia</w:t>
      </w:r>
      <w:r w:rsidRPr="000E4923">
        <w:rPr>
          <w:rFonts w:eastAsia="Calibri" w:cstheme="minorHAnsi"/>
          <w:lang w:val="pl-PL"/>
        </w:rPr>
        <w:t xml:space="preserve"> skierowana bezpośrednio do pacjentów i użytkowników indywidualnych.</w:t>
      </w:r>
    </w:p>
    <w:p w14:paraId="649AAC05" w14:textId="77777777" w:rsidR="00FC7BD4" w:rsidRPr="000E4923" w:rsidRDefault="00FC7BD4" w:rsidP="00FC7BD4">
      <w:pPr>
        <w:jc w:val="both"/>
        <w:rPr>
          <w:rFonts w:eastAsia="Calibri" w:cstheme="minorHAnsi"/>
          <w:lang w:val="pl-PL"/>
        </w:rPr>
      </w:pPr>
      <w:proofErr w:type="spellStart"/>
      <w:r w:rsidRPr="000E4923">
        <w:rPr>
          <w:rFonts w:eastAsia="Calibri" w:cstheme="minorHAnsi"/>
          <w:b/>
          <w:bCs/>
          <w:lang w:val="pl-PL"/>
        </w:rPr>
        <w:t>HoloComm</w:t>
      </w:r>
      <w:proofErr w:type="spellEnd"/>
      <w:r w:rsidRPr="000E4923">
        <w:rPr>
          <w:rFonts w:eastAsia="Calibri" w:cstheme="minorHAnsi"/>
          <w:lang w:val="pl-PL"/>
        </w:rPr>
        <w:t xml:space="preserve"> jest angażującym rozwiązaniem do zdalnej, trójwymiarowej prezentacji produktów, treści, danych i innych elementów przy użyciu okularów Microsoft HoloLens 2.  </w:t>
      </w:r>
    </w:p>
    <w:p w14:paraId="1CC61B5A" w14:textId="77777777" w:rsidR="00FC7BD4" w:rsidRPr="000E4923" w:rsidRDefault="00FC7BD4" w:rsidP="00FC7BD4">
      <w:pPr>
        <w:jc w:val="both"/>
        <w:rPr>
          <w:rFonts w:cstheme="minorHAnsi"/>
          <w:lang w:val="pl-PL"/>
        </w:rPr>
      </w:pPr>
      <w:r w:rsidRPr="000E4923">
        <w:rPr>
          <w:rFonts w:cstheme="minorHAnsi"/>
          <w:lang w:val="pl-PL"/>
        </w:rPr>
        <w:t xml:space="preserve">W 2020 roku dynamika wzrostu zysku wyniosła 185% w porównaniu z okresem poprzednim. Atutami spółki jest wsparcie Rady Naukowej składającej się z uznanych specjalistów z obszaru innowacji medycznych oraz współpraca z międzynarodowymi liderami technologii i medycyny takimi, jak: Microsoft, GE Healthcare czy Johnson &amp; Johnson.  </w:t>
      </w:r>
    </w:p>
    <w:p w14:paraId="771415DF" w14:textId="77777777" w:rsidR="00FC7BD4" w:rsidRPr="000E4923" w:rsidRDefault="00FC7BD4" w:rsidP="00FC7BD4">
      <w:pPr>
        <w:jc w:val="both"/>
        <w:rPr>
          <w:rFonts w:cstheme="minorHAnsi"/>
          <w:lang w:val="pl-PL"/>
        </w:rPr>
      </w:pPr>
      <w:r w:rsidRPr="000E4923">
        <w:rPr>
          <w:rFonts w:cstheme="minorHAnsi"/>
          <w:lang w:val="pl-PL"/>
        </w:rPr>
        <w:t xml:space="preserve">W 2021 roku spółka </w:t>
      </w:r>
      <w:proofErr w:type="spellStart"/>
      <w:r w:rsidRPr="000E4923">
        <w:rPr>
          <w:rFonts w:cstheme="minorHAnsi"/>
          <w:lang w:val="pl-PL"/>
        </w:rPr>
        <w:t>MedApp</w:t>
      </w:r>
      <w:proofErr w:type="spellEnd"/>
      <w:r w:rsidRPr="000E4923">
        <w:rPr>
          <w:rFonts w:cstheme="minorHAnsi"/>
          <w:lang w:val="pl-PL"/>
        </w:rPr>
        <w:t xml:space="preserve"> S.A. planuje zadebiutować na rynku głównym GPW.</w:t>
      </w:r>
    </w:p>
    <w:p w14:paraId="58980578" w14:textId="77777777" w:rsidR="00FC7BD4" w:rsidRDefault="00FC7BD4" w:rsidP="00FC7BD4">
      <w:pPr>
        <w:spacing w:after="120" w:line="240" w:lineRule="auto"/>
        <w:jc w:val="both"/>
        <w:rPr>
          <w:b/>
          <w:bCs/>
          <w:lang w:val="pl-PL"/>
        </w:rPr>
      </w:pPr>
    </w:p>
    <w:p w14:paraId="5B16B75E" w14:textId="77777777" w:rsidR="00FC7BD4" w:rsidRDefault="00FC7BD4" w:rsidP="00FC7BD4">
      <w:pPr>
        <w:spacing w:after="120" w:line="240" w:lineRule="auto"/>
        <w:jc w:val="both"/>
        <w:rPr>
          <w:b/>
          <w:bCs/>
          <w:lang w:val="pl-PL"/>
        </w:rPr>
      </w:pPr>
    </w:p>
    <w:p w14:paraId="118564C6" w14:textId="77777777" w:rsidR="00FC7BD4" w:rsidRDefault="00FC7BD4" w:rsidP="00FC7BD4">
      <w:pPr>
        <w:spacing w:after="120" w:line="240" w:lineRule="auto"/>
        <w:jc w:val="both"/>
        <w:rPr>
          <w:b/>
          <w:bCs/>
          <w:lang w:val="pl-PL"/>
        </w:rPr>
      </w:pPr>
      <w:r w:rsidRPr="000040B6">
        <w:rPr>
          <w:b/>
          <w:bCs/>
          <w:lang w:val="pl-PL"/>
        </w:rPr>
        <w:t xml:space="preserve">Kontakt dla mediów </w:t>
      </w:r>
    </w:p>
    <w:p w14:paraId="4577A851" w14:textId="77777777" w:rsidR="00FC7BD4" w:rsidRPr="00506A61" w:rsidRDefault="00FC7BD4" w:rsidP="00FC7BD4">
      <w:pPr>
        <w:spacing w:after="0" w:line="240" w:lineRule="auto"/>
        <w:jc w:val="both"/>
        <w:rPr>
          <w:b/>
          <w:bCs/>
          <w:lang w:val="pl-PL"/>
        </w:rPr>
      </w:pPr>
    </w:p>
    <w:p w14:paraId="1A810199" w14:textId="6EE0D8C3" w:rsidR="00FC7BD4" w:rsidRPr="00C820DA" w:rsidRDefault="00FC7BD4" w:rsidP="00CB166B">
      <w:pPr>
        <w:pStyle w:val="Bezodstpw"/>
        <w:rPr>
          <w:lang w:val="pl-PL"/>
        </w:rPr>
      </w:pPr>
      <w:r w:rsidRPr="00C820DA">
        <w:rPr>
          <w:lang w:val="pl-PL"/>
        </w:rPr>
        <w:t>A</w:t>
      </w:r>
      <w:r w:rsidR="00C820DA" w:rsidRPr="00C820DA">
        <w:rPr>
          <w:lang w:val="pl-PL"/>
        </w:rPr>
        <w:t>drian Boczkowski</w:t>
      </w:r>
    </w:p>
    <w:p w14:paraId="1DED7173" w14:textId="77777777" w:rsidR="00C820DA" w:rsidRPr="00CB166B" w:rsidRDefault="00FC7BD4" w:rsidP="00CB166B">
      <w:pPr>
        <w:pStyle w:val="Bezodstpw"/>
        <w:rPr>
          <w:lang w:val="pl-PL"/>
        </w:rPr>
      </w:pPr>
      <w:r w:rsidRPr="00CB166B">
        <w:rPr>
          <w:lang w:val="pl-PL"/>
        </w:rPr>
        <w:t>P</w:t>
      </w:r>
      <w:r w:rsidR="00C820DA" w:rsidRPr="00CB166B">
        <w:rPr>
          <w:lang w:val="pl-PL"/>
        </w:rPr>
        <w:t>&amp;L Investor Relations</w:t>
      </w:r>
    </w:p>
    <w:p w14:paraId="1A322062" w14:textId="77777777" w:rsidR="00CB166B" w:rsidRDefault="00CB166B" w:rsidP="00CB166B">
      <w:pPr>
        <w:pStyle w:val="Bezodstpw"/>
        <w:rPr>
          <w:rFonts w:cstheme="minorHAnsi"/>
          <w:color w:val="000000" w:themeColor="text1"/>
        </w:rPr>
      </w:pPr>
      <w:hyperlink r:id="rId10" w:history="1">
        <w:r w:rsidRPr="00E767BD">
          <w:rPr>
            <w:rStyle w:val="Hipercze"/>
            <w:rFonts w:cstheme="minorHAnsi"/>
          </w:rPr>
          <w:t>a.boczkowski@pandl.pl</w:t>
        </w:r>
      </w:hyperlink>
    </w:p>
    <w:p w14:paraId="127EBE23" w14:textId="47DD91E0" w:rsidR="00FC7BD4" w:rsidRPr="00CA1B2B" w:rsidRDefault="00FC7BD4" w:rsidP="00CB166B">
      <w:pPr>
        <w:pStyle w:val="Bezodstpw"/>
      </w:pPr>
      <w:r w:rsidRPr="00B664EC">
        <w:t>+48</w:t>
      </w:r>
      <w:r w:rsidR="00C820DA">
        <w:t> 506 324 456</w:t>
      </w:r>
    </w:p>
    <w:p w14:paraId="75B7B4FF" w14:textId="60A9FC7A" w:rsidR="55E3F5C1" w:rsidRPr="00857956" w:rsidRDefault="55E3F5C1" w:rsidP="7C7E1500"/>
    <w:sectPr w:rsidR="55E3F5C1" w:rsidRPr="00857956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2CBE" w14:textId="77777777" w:rsidR="00404260" w:rsidRDefault="00404260" w:rsidP="00F86E88">
      <w:pPr>
        <w:spacing w:after="0" w:line="240" w:lineRule="auto"/>
      </w:pPr>
      <w:r>
        <w:separator/>
      </w:r>
    </w:p>
  </w:endnote>
  <w:endnote w:type="continuationSeparator" w:id="0">
    <w:p w14:paraId="558C76B2" w14:textId="77777777" w:rsidR="00404260" w:rsidRDefault="00404260" w:rsidP="00F86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L">
    <w:altName w:val="Calibri"/>
    <w:panose1 w:val="00000500000000000000"/>
    <w:charset w:val="00"/>
    <w:family w:val="modern"/>
    <w:notTrueType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1BEB" w14:textId="3CEE52D2" w:rsidR="00F86E88" w:rsidRPr="00F86E88" w:rsidRDefault="00AC23EF">
    <w:pPr>
      <w:pStyle w:val="Stopk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DDF432C" wp14:editId="313F6A97">
          <wp:simplePos x="0" y="0"/>
          <wp:positionH relativeFrom="margin">
            <wp:posOffset>-126365</wp:posOffset>
          </wp:positionH>
          <wp:positionV relativeFrom="page">
            <wp:posOffset>8801100</wp:posOffset>
          </wp:positionV>
          <wp:extent cx="4440555" cy="666750"/>
          <wp:effectExtent l="0" t="0" r="0" b="0"/>
          <wp:wrapSquare wrapText="bothSides"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055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6EFE">
      <w:rPr>
        <w:noProof/>
      </w:rPr>
      <w:drawing>
        <wp:anchor distT="0" distB="0" distL="114300" distR="114300" simplePos="0" relativeHeight="251665408" behindDoc="0" locked="0" layoutInCell="1" allowOverlap="1" wp14:anchorId="4B917662" wp14:editId="757FBFF8">
          <wp:simplePos x="0" y="0"/>
          <wp:positionH relativeFrom="margin">
            <wp:posOffset>4687570</wp:posOffset>
          </wp:positionH>
          <wp:positionV relativeFrom="page">
            <wp:posOffset>8113395</wp:posOffset>
          </wp:positionV>
          <wp:extent cx="1565910" cy="3042920"/>
          <wp:effectExtent l="0" t="0" r="0" b="508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304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6E8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F71A8" w14:textId="77777777" w:rsidR="00404260" w:rsidRDefault="00404260" w:rsidP="00F86E88">
      <w:pPr>
        <w:spacing w:after="0" w:line="240" w:lineRule="auto"/>
      </w:pPr>
      <w:r>
        <w:separator/>
      </w:r>
    </w:p>
  </w:footnote>
  <w:footnote w:type="continuationSeparator" w:id="0">
    <w:p w14:paraId="24931305" w14:textId="77777777" w:rsidR="00404260" w:rsidRDefault="00404260" w:rsidP="00F86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09398" w14:textId="79D80E4C" w:rsidR="00F86E88" w:rsidRDefault="00C820DA">
    <w:pPr>
      <w:pStyle w:val="Nagwek"/>
    </w:pPr>
    <w:r w:rsidRPr="00C820DA">
      <w:rPr>
        <w:noProof/>
      </w:rPr>
      <w:drawing>
        <wp:anchor distT="0" distB="0" distL="114300" distR="114300" simplePos="0" relativeHeight="251668480" behindDoc="1" locked="0" layoutInCell="1" allowOverlap="1" wp14:anchorId="494762E8" wp14:editId="00E0D6A1">
          <wp:simplePos x="0" y="0"/>
          <wp:positionH relativeFrom="column">
            <wp:posOffset>2671157</wp:posOffset>
          </wp:positionH>
          <wp:positionV relativeFrom="paragraph">
            <wp:posOffset>265315</wp:posOffset>
          </wp:positionV>
          <wp:extent cx="3730856" cy="170288"/>
          <wp:effectExtent l="0" t="0" r="0" b="1270"/>
          <wp:wrapNone/>
          <wp:docPr id="3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04662" cy="178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23EF">
      <w:rPr>
        <w:noProof/>
      </w:rPr>
      <w:drawing>
        <wp:anchor distT="0" distB="0" distL="114300" distR="114300" simplePos="0" relativeHeight="251663360" behindDoc="0" locked="0" layoutInCell="1" allowOverlap="1" wp14:anchorId="0C3692A2" wp14:editId="70A96355">
          <wp:simplePos x="0" y="0"/>
          <wp:positionH relativeFrom="margin">
            <wp:posOffset>-166370</wp:posOffset>
          </wp:positionH>
          <wp:positionV relativeFrom="margin">
            <wp:posOffset>-333375</wp:posOffset>
          </wp:positionV>
          <wp:extent cx="1960880" cy="400050"/>
          <wp:effectExtent l="0" t="0" r="1270" b="0"/>
          <wp:wrapSquare wrapText="bothSides"/>
          <wp:docPr id="53" name="Graphic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880" cy="400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6E88">
      <w:rPr>
        <w:noProof/>
      </w:rPr>
      <w:softHyphen/>
    </w:r>
    <w:r w:rsidR="00F86E88">
      <w:rPr>
        <w:noProof/>
      </w:rPr>
      <w:softHyphen/>
    </w:r>
    <w:r w:rsidR="00F86E88">
      <w:rPr>
        <w:noProof/>
      </w:rPr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E88"/>
    <w:rsid w:val="00040E31"/>
    <w:rsid w:val="00077612"/>
    <w:rsid w:val="001268A6"/>
    <w:rsid w:val="001B4C0F"/>
    <w:rsid w:val="002229AF"/>
    <w:rsid w:val="00256EFE"/>
    <w:rsid w:val="002C0D5F"/>
    <w:rsid w:val="003B3432"/>
    <w:rsid w:val="0040147A"/>
    <w:rsid w:val="00404260"/>
    <w:rsid w:val="004A2F66"/>
    <w:rsid w:val="005233FC"/>
    <w:rsid w:val="00526E77"/>
    <w:rsid w:val="005E2B6A"/>
    <w:rsid w:val="00612224"/>
    <w:rsid w:val="00666014"/>
    <w:rsid w:val="006C7F68"/>
    <w:rsid w:val="007D7B78"/>
    <w:rsid w:val="0084718F"/>
    <w:rsid w:val="00857956"/>
    <w:rsid w:val="00A558DA"/>
    <w:rsid w:val="00AB1C95"/>
    <w:rsid w:val="00AC23EF"/>
    <w:rsid w:val="00B52E5D"/>
    <w:rsid w:val="00BC565F"/>
    <w:rsid w:val="00C820DA"/>
    <w:rsid w:val="00C843D4"/>
    <w:rsid w:val="00CB166B"/>
    <w:rsid w:val="00CF20DF"/>
    <w:rsid w:val="00CF76C9"/>
    <w:rsid w:val="00F86E88"/>
    <w:rsid w:val="00FC7BD4"/>
    <w:rsid w:val="55E3F5C1"/>
    <w:rsid w:val="7C7E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03677"/>
  <w15:chartTrackingRefBased/>
  <w15:docId w15:val="{EDE99970-5B9F-47D5-B28D-96D16D48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E88"/>
    <w:pPr>
      <w:tabs>
        <w:tab w:val="center" w:pos="4680"/>
        <w:tab w:val="right" w:pos="9360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F86E88"/>
  </w:style>
  <w:style w:type="paragraph" w:styleId="Stopka">
    <w:name w:val="footer"/>
    <w:basedOn w:val="Normalny"/>
    <w:link w:val="StopkaZnak"/>
    <w:uiPriority w:val="99"/>
    <w:unhideWhenUsed/>
    <w:rsid w:val="00F86E88"/>
    <w:pPr>
      <w:tabs>
        <w:tab w:val="center" w:pos="4680"/>
        <w:tab w:val="right" w:pos="9360"/>
      </w:tabs>
      <w:spacing w:after="0" w:line="240" w:lineRule="auto"/>
    </w:pPr>
    <w:rPr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86E88"/>
  </w:style>
  <w:style w:type="paragraph" w:styleId="Tekstdymka">
    <w:name w:val="Balloon Text"/>
    <w:basedOn w:val="Normalny"/>
    <w:link w:val="TekstdymkaZnak"/>
    <w:uiPriority w:val="99"/>
    <w:semiHidden/>
    <w:unhideWhenUsed/>
    <w:rsid w:val="00AB1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C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B1C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C820D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20DA"/>
    <w:pPr>
      <w:spacing w:before="100" w:beforeAutospacing="1" w:after="100" w:afterAutospacing="1" w:line="240" w:lineRule="auto"/>
    </w:pPr>
    <w:rPr>
      <w:rFonts w:ascii="Calibri" w:hAnsi="Calibri" w:cs="Calibri"/>
      <w:lang w:val="pl-PL" w:eastAsia="pl-PL"/>
    </w:rPr>
  </w:style>
  <w:style w:type="paragraph" w:styleId="Bezodstpw">
    <w:name w:val="No Spacing"/>
    <w:uiPriority w:val="1"/>
    <w:qFormat/>
    <w:rsid w:val="00CB16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.boczkowski@pandl.p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F2A41B203C3D49BCC552F6A94786CD" ma:contentTypeVersion="12" ma:contentTypeDescription="Create a new document." ma:contentTypeScope="" ma:versionID="eb34e01071529a6180371529bff4767e">
  <xsd:schema xmlns:xsd="http://www.w3.org/2001/XMLSchema" xmlns:xs="http://www.w3.org/2001/XMLSchema" xmlns:p="http://schemas.microsoft.com/office/2006/metadata/properties" xmlns:ns2="20a63d21-cf12-4063-8f81-99fa425b9420" xmlns:ns3="2d40c06f-6901-4224-b4fe-82fd2c0bf18f" targetNamespace="http://schemas.microsoft.com/office/2006/metadata/properties" ma:root="true" ma:fieldsID="6c47a518030e1e17b2a08b26c048e47a" ns2:_="" ns3:_="">
    <xsd:import namespace="20a63d21-cf12-4063-8f81-99fa425b9420"/>
    <xsd:import namespace="2d40c06f-6901-4224-b4fe-82fd2c0bf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63d21-cf12-4063-8f81-99fa425b94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40c06f-6901-4224-b4fe-82fd2c0bf18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0F136-FFDA-42A3-A659-F9AF91494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63d21-cf12-4063-8f81-99fa425b9420"/>
    <ds:schemaRef ds:uri="2d40c06f-6901-4224-b4fe-82fd2c0bf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27F464-AF16-401F-BE2F-4020C5EBB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58A623-9684-4D02-A41B-6CEEF3C103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6C3DB7-39B3-4A17-8EF0-44C490249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Tyndel</dc:creator>
  <cp:keywords/>
  <dc:description/>
  <cp:lastModifiedBy>Anna Ginalska-Cholewa</cp:lastModifiedBy>
  <cp:revision>4</cp:revision>
  <dcterms:created xsi:type="dcterms:W3CDTF">2021-12-17T09:00:00Z</dcterms:created>
  <dcterms:modified xsi:type="dcterms:W3CDTF">2021-12-17T12:11:00Z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0x01010081F2A41B203C3D49BCC552F6A94786CD</vt:lpwstr>
  </property>
</Properties>
</file>